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21B40" w14:textId="0A90F44C" w:rsidR="00C07F19" w:rsidRPr="00C07F19" w:rsidRDefault="00C07F19" w:rsidP="00C07F19">
      <w:pPr>
        <w:rPr>
          <w:rFonts w:ascii="Open Sans" w:hAnsi="Open Sans" w:cs="Open Sans"/>
          <w:b/>
          <w:color w:val="auto"/>
          <w:szCs w:val="24"/>
        </w:rPr>
      </w:pPr>
      <w:bookmarkStart w:id="0" w:name="_GoBack"/>
      <w:bookmarkEnd w:id="0"/>
      <w:r w:rsidRPr="00C07F19">
        <w:rPr>
          <w:rFonts w:ascii="Open Sans" w:hAnsi="Open Sans" w:cs="Open Sans"/>
          <w:b/>
          <w:color w:val="auto"/>
          <w:szCs w:val="24"/>
        </w:rPr>
        <w:t>Grade 11: Due Friday April 5</w:t>
      </w:r>
      <w:r w:rsidRPr="00C07F19">
        <w:rPr>
          <w:rFonts w:ascii="Open Sans" w:hAnsi="Open Sans" w:cs="Open Sans"/>
          <w:b/>
          <w:color w:val="auto"/>
          <w:szCs w:val="24"/>
          <w:vertAlign w:val="superscript"/>
        </w:rPr>
        <w:t>th</w:t>
      </w:r>
      <w:r w:rsidRPr="00C07F19">
        <w:rPr>
          <w:rFonts w:ascii="Open Sans" w:hAnsi="Open Sans" w:cs="Open Sans"/>
          <w:b/>
          <w:color w:val="auto"/>
          <w:szCs w:val="24"/>
        </w:rPr>
        <w:t xml:space="preserve"> </w:t>
      </w:r>
    </w:p>
    <w:tbl>
      <w:tblPr>
        <w:tblStyle w:val="LightList-Accent4"/>
        <w:tblW w:w="14490" w:type="dxa"/>
        <w:tblInd w:w="-100" w:type="dxa"/>
        <w:tblLook w:val="00A0" w:firstRow="1" w:lastRow="0" w:firstColumn="1" w:lastColumn="0" w:noHBand="0" w:noVBand="0"/>
      </w:tblPr>
      <w:tblGrid>
        <w:gridCol w:w="2070"/>
        <w:gridCol w:w="2070"/>
        <w:gridCol w:w="10350"/>
      </w:tblGrid>
      <w:tr w:rsidR="00C07F19" w:rsidRPr="00377F97" w14:paraId="4C6AF615" w14:textId="77777777" w:rsidTr="009E20A7">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070" w:type="dxa"/>
            <w:vAlign w:val="center"/>
          </w:tcPr>
          <w:p w14:paraId="726C294F" w14:textId="77777777" w:rsidR="00C07F19" w:rsidRPr="00F15AA1" w:rsidRDefault="00C07F19" w:rsidP="009E20A7">
            <w:pPr>
              <w:pStyle w:val="HobsonsText"/>
              <w:contextualSpacing/>
              <w:jc w:val="center"/>
              <w:rPr>
                <w:rFonts w:ascii="Open Sans" w:hAnsi="Open Sans" w:cs="Open Sans"/>
                <w:sz w:val="22"/>
                <w:szCs w:val="22"/>
              </w:rPr>
            </w:pPr>
            <w:r w:rsidRPr="00F15AA1">
              <w:rPr>
                <w:rFonts w:ascii="Open Sans" w:hAnsi="Open Sans" w:cs="Open Sans"/>
                <w:sz w:val="22"/>
                <w:szCs w:val="22"/>
              </w:rPr>
              <w:t>Suggested</w:t>
            </w:r>
          </w:p>
          <w:p w14:paraId="3A79AB58" w14:textId="77777777" w:rsidR="00C07F19" w:rsidRPr="00947C5E" w:rsidRDefault="00C07F19" w:rsidP="009E20A7">
            <w:pPr>
              <w:pStyle w:val="HobsonsText"/>
              <w:jc w:val="center"/>
              <w:rPr>
                <w:rFonts w:ascii="Open Sans" w:hAnsi="Open Sans" w:cs="Open Sans"/>
                <w:sz w:val="22"/>
                <w:szCs w:val="22"/>
              </w:rPr>
            </w:pPr>
            <w:r w:rsidRPr="00947C5E">
              <w:rPr>
                <w:rFonts w:ascii="Open Sans" w:hAnsi="Open Sans" w:cs="Open Sans"/>
                <w:sz w:val="22"/>
                <w:szCs w:val="22"/>
              </w:rPr>
              <w:t>Timeframe</w:t>
            </w:r>
          </w:p>
        </w:tc>
        <w:tc>
          <w:tcPr>
            <w:cnfStyle w:val="000010000000" w:firstRow="0" w:lastRow="0" w:firstColumn="0" w:lastColumn="0" w:oddVBand="1" w:evenVBand="0" w:oddHBand="0" w:evenHBand="0" w:firstRowFirstColumn="0" w:firstRowLastColumn="0" w:lastRowFirstColumn="0" w:lastRowLastColumn="0"/>
            <w:tcW w:w="2070" w:type="dxa"/>
            <w:vAlign w:val="center"/>
          </w:tcPr>
          <w:p w14:paraId="68AF1B52" w14:textId="77777777" w:rsidR="00C07F19" w:rsidRPr="00947C5E" w:rsidRDefault="00C07F19" w:rsidP="009E20A7">
            <w:pPr>
              <w:pStyle w:val="HobsonsText"/>
              <w:jc w:val="center"/>
              <w:rPr>
                <w:rFonts w:ascii="Open Sans" w:hAnsi="Open Sans" w:cs="Open Sans"/>
                <w:sz w:val="22"/>
                <w:szCs w:val="22"/>
              </w:rPr>
            </w:pPr>
            <w:r w:rsidRPr="00947C5E">
              <w:rPr>
                <w:rFonts w:ascii="Open Sans" w:hAnsi="Open Sans" w:cs="Open Sans"/>
                <w:sz w:val="22"/>
                <w:szCs w:val="22"/>
              </w:rPr>
              <w:t>Naviance Activity</w:t>
            </w:r>
          </w:p>
        </w:tc>
        <w:tc>
          <w:tcPr>
            <w:tcW w:w="10350" w:type="dxa"/>
            <w:vAlign w:val="center"/>
          </w:tcPr>
          <w:p w14:paraId="20B7F627" w14:textId="77777777" w:rsidR="00C07F19" w:rsidRPr="00947C5E" w:rsidRDefault="00C07F19" w:rsidP="009E20A7">
            <w:pPr>
              <w:pStyle w:val="HobsonsText"/>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sz w:val="22"/>
                <w:szCs w:val="22"/>
              </w:rPr>
            </w:pPr>
            <w:r w:rsidRPr="00947C5E">
              <w:rPr>
                <w:rFonts w:ascii="Open Sans" w:hAnsi="Open Sans" w:cs="Open Sans"/>
                <w:sz w:val="22"/>
                <w:szCs w:val="22"/>
              </w:rPr>
              <w:t>Details &amp; Learning Outcomes</w:t>
            </w:r>
          </w:p>
        </w:tc>
      </w:tr>
      <w:tr w:rsidR="00C07F19" w:rsidRPr="00377F97" w14:paraId="51087A46" w14:textId="77777777" w:rsidTr="009E2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0" w:type="dxa"/>
            <w:gridSpan w:val="3"/>
            <w:vAlign w:val="center"/>
          </w:tcPr>
          <w:p w14:paraId="3E6F5B25" w14:textId="77777777" w:rsidR="00C07F19" w:rsidRPr="00947C5E" w:rsidRDefault="00C07F19" w:rsidP="009E20A7">
            <w:pPr>
              <w:pStyle w:val="HobsonsText"/>
              <w:jc w:val="center"/>
              <w:rPr>
                <w:rFonts w:ascii="Open Sans" w:eastAsiaTheme="minorEastAsia" w:hAnsi="Open Sans" w:cs="Open Sans"/>
              </w:rPr>
            </w:pPr>
            <w:r>
              <w:rPr>
                <w:rFonts w:ascii="Open Sans" w:eastAsiaTheme="minorEastAsia" w:hAnsi="Open Sans" w:cs="Open Sans"/>
              </w:rPr>
              <w:t>As part of the Career Plan, the Career Plan essay is completed in English 11. *</w:t>
            </w:r>
          </w:p>
        </w:tc>
      </w:tr>
      <w:tr w:rsidR="00C07F19" w:rsidRPr="00377F97" w14:paraId="2E478300" w14:textId="77777777" w:rsidTr="009E20A7">
        <w:tc>
          <w:tcPr>
            <w:cnfStyle w:val="001000000000" w:firstRow="0" w:lastRow="0" w:firstColumn="1" w:lastColumn="0" w:oddVBand="0" w:evenVBand="0" w:oddHBand="0" w:evenHBand="0" w:firstRowFirstColumn="0" w:firstRowLastColumn="0" w:lastRowFirstColumn="0" w:lastRowLastColumn="0"/>
            <w:tcW w:w="2070" w:type="dxa"/>
          </w:tcPr>
          <w:p w14:paraId="4D47B57B" w14:textId="4C6BEA1F" w:rsidR="00C07F19" w:rsidRPr="00947C5E" w:rsidRDefault="00C07F19" w:rsidP="009E20A7">
            <w:pPr>
              <w:pStyle w:val="NormalWeb"/>
              <w:spacing w:before="0" w:beforeAutospacing="0" w:after="0" w:afterAutospacing="0"/>
              <w:rPr>
                <w:rFonts w:ascii="Open Sans" w:hAnsi="Open Sans" w:cs="Open Sans"/>
                <w:sz w:val="22"/>
                <w:szCs w:val="22"/>
              </w:rPr>
            </w:pPr>
            <w:r w:rsidRPr="00947C5E">
              <w:rPr>
                <w:rFonts w:ascii="Open Sans" w:hAnsi="Open Sans" w:cs="Open Sans"/>
                <w:sz w:val="22"/>
                <w:szCs w:val="22"/>
              </w:rPr>
              <w:t xml:space="preserve">Marking Period </w:t>
            </w:r>
            <w:r>
              <w:rPr>
                <w:rFonts w:ascii="Open Sans" w:hAnsi="Open Sans" w:cs="Open Sans"/>
                <w:sz w:val="22"/>
                <w:szCs w:val="22"/>
              </w:rPr>
              <w:t>3</w:t>
            </w:r>
          </w:p>
        </w:tc>
        <w:tc>
          <w:tcPr>
            <w:cnfStyle w:val="000010000000" w:firstRow="0" w:lastRow="0" w:firstColumn="0" w:lastColumn="0" w:oddVBand="1" w:evenVBand="0" w:oddHBand="0" w:evenHBand="0" w:firstRowFirstColumn="0" w:firstRowLastColumn="0" w:lastRowFirstColumn="0" w:lastRowLastColumn="0"/>
            <w:tcW w:w="2070" w:type="dxa"/>
          </w:tcPr>
          <w:p w14:paraId="530A18A8" w14:textId="77777777" w:rsidR="00C07F19" w:rsidRPr="0029712A" w:rsidRDefault="00C07F19" w:rsidP="009E20A7">
            <w:pPr>
              <w:pStyle w:val="HobsonsText"/>
              <w:rPr>
                <w:rFonts w:ascii="Open Sans" w:hAnsi="Open Sans" w:cs="Open Sans"/>
                <w:sz w:val="16"/>
                <w:szCs w:val="16"/>
              </w:rPr>
            </w:pPr>
            <w:r w:rsidRPr="0029712A">
              <w:rPr>
                <w:rFonts w:ascii="Open Sans" w:eastAsiaTheme="minorEastAsia" w:hAnsi="Open Sans" w:cs="Open Sans"/>
                <w:sz w:val="16"/>
                <w:szCs w:val="16"/>
              </w:rPr>
              <w:t>Road Trip Nation Video – Advisory discussion</w:t>
            </w:r>
          </w:p>
        </w:tc>
        <w:tc>
          <w:tcPr>
            <w:tcW w:w="10350" w:type="dxa"/>
          </w:tcPr>
          <w:p w14:paraId="4560D13A" w14:textId="77777777" w:rsidR="00C07F19" w:rsidRPr="0029712A" w:rsidRDefault="00C07F19" w:rsidP="009E20A7">
            <w:pPr>
              <w:pStyle w:val="HobsonsTex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29712A">
              <w:rPr>
                <w:rFonts w:ascii="Open Sans" w:eastAsiaTheme="minorEastAsia" w:hAnsi="Open Sans" w:cs="Open Sans"/>
              </w:rPr>
              <w:t xml:space="preserve">Peruse Road Trip Nation videos in the </w:t>
            </w:r>
            <w:r w:rsidRPr="0029712A">
              <w:rPr>
                <w:rFonts w:ascii="Open Sans" w:eastAsiaTheme="minorEastAsia" w:hAnsi="Open Sans" w:cs="Open Sans"/>
                <w:i/>
              </w:rPr>
              <w:t>Confidence</w:t>
            </w:r>
            <w:r w:rsidRPr="0029712A">
              <w:rPr>
                <w:rFonts w:ascii="Open Sans" w:eastAsiaTheme="minorEastAsia" w:hAnsi="Open Sans" w:cs="Open Sans"/>
              </w:rPr>
              <w:t xml:space="preserve"> and </w:t>
            </w:r>
            <w:r w:rsidRPr="0029712A">
              <w:rPr>
                <w:rFonts w:ascii="Open Sans" w:eastAsiaTheme="minorEastAsia" w:hAnsi="Open Sans" w:cs="Open Sans"/>
                <w:i/>
              </w:rPr>
              <w:t>Planning</w:t>
            </w:r>
            <w:r w:rsidRPr="0029712A">
              <w:rPr>
                <w:rFonts w:ascii="Open Sans" w:eastAsiaTheme="minorEastAsia" w:hAnsi="Open Sans" w:cs="Open Sans"/>
              </w:rPr>
              <w:t xml:space="preserve"> themes. Consider why you chose the video, what you learned about confidence, and what you learned about the importance of planning.</w:t>
            </w:r>
          </w:p>
        </w:tc>
      </w:tr>
      <w:tr w:rsidR="00C07F19" w:rsidRPr="00377F97" w14:paraId="7693B8CE" w14:textId="77777777" w:rsidTr="009E2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0879642E" w14:textId="4D4C6266" w:rsidR="00C07F19" w:rsidRPr="00947C5E" w:rsidRDefault="00C07F19" w:rsidP="009E20A7">
            <w:pPr>
              <w:pStyle w:val="NormalWeb"/>
              <w:spacing w:before="0" w:beforeAutospacing="0" w:after="0" w:afterAutospacing="0"/>
              <w:rPr>
                <w:rFonts w:ascii="Open Sans" w:hAnsi="Open Sans" w:cs="Open Sans"/>
                <w:sz w:val="22"/>
                <w:szCs w:val="22"/>
              </w:rPr>
            </w:pPr>
            <w:r w:rsidRPr="00947C5E">
              <w:rPr>
                <w:rFonts w:ascii="Open Sans" w:hAnsi="Open Sans" w:cs="Open Sans"/>
                <w:sz w:val="22"/>
                <w:szCs w:val="22"/>
              </w:rPr>
              <w:t xml:space="preserve">Marking Period </w:t>
            </w:r>
            <w:r>
              <w:rPr>
                <w:rFonts w:ascii="Open Sans" w:hAnsi="Open Sans" w:cs="Open Sans"/>
                <w:sz w:val="22"/>
                <w:szCs w:val="22"/>
              </w:rPr>
              <w:t>3</w:t>
            </w:r>
          </w:p>
        </w:tc>
        <w:tc>
          <w:tcPr>
            <w:cnfStyle w:val="000010000000" w:firstRow="0" w:lastRow="0" w:firstColumn="0" w:lastColumn="0" w:oddVBand="1" w:evenVBand="0" w:oddHBand="0" w:evenHBand="0" w:firstRowFirstColumn="0" w:firstRowLastColumn="0" w:lastRowFirstColumn="0" w:lastRowLastColumn="0"/>
            <w:tcW w:w="2070" w:type="dxa"/>
          </w:tcPr>
          <w:p w14:paraId="3404EFA2" w14:textId="77777777" w:rsidR="00C07F19" w:rsidRPr="00947C5E" w:rsidRDefault="00C07F19" w:rsidP="009E20A7">
            <w:pPr>
              <w:rPr>
                <w:rFonts w:ascii="Open Sans" w:eastAsiaTheme="minorEastAsia" w:hAnsi="Open Sans" w:cs="Open Sans"/>
                <w:color w:val="auto"/>
                <w:sz w:val="22"/>
                <w:szCs w:val="22"/>
              </w:rPr>
            </w:pPr>
            <w:r w:rsidRPr="00947C5E">
              <w:rPr>
                <w:rFonts w:ascii="Open Sans" w:hAnsi="Open Sans" w:cs="Open Sans"/>
                <w:sz w:val="22"/>
                <w:szCs w:val="22"/>
              </w:rPr>
              <w:t>Reflection*</w:t>
            </w:r>
          </w:p>
        </w:tc>
        <w:tc>
          <w:tcPr>
            <w:tcW w:w="10350" w:type="dxa"/>
          </w:tcPr>
          <w:p w14:paraId="3C69F929" w14:textId="77777777" w:rsidR="00C07F19" w:rsidRPr="00586DF8" w:rsidRDefault="00C07F19" w:rsidP="009E20A7">
            <w:pPr>
              <w:pStyle w:val="HobsonsText"/>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586DF8">
              <w:rPr>
                <w:rFonts w:ascii="Open Sans" w:hAnsi="Open Sans" w:cs="Open Sans"/>
              </w:rPr>
              <w:t>Respond to the following reflection questions in Naviance journal:</w:t>
            </w:r>
          </w:p>
          <w:p w14:paraId="48887588" w14:textId="77777777" w:rsidR="00C07F19" w:rsidRPr="00586DF8" w:rsidRDefault="00C07F19" w:rsidP="009E20A7">
            <w:pPr>
              <w:pStyle w:val="HobsonsText"/>
              <w:numPr>
                <w:ilvl w:val="0"/>
                <w:numId w:val="3"/>
              </w:num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586DF8">
              <w:rPr>
                <w:rFonts w:ascii="Open Sans" w:hAnsi="Open Sans" w:cs="Open Sans"/>
              </w:rPr>
              <w:t>What are your job/career goals?</w:t>
            </w:r>
          </w:p>
          <w:p w14:paraId="3611C1DE" w14:textId="77777777" w:rsidR="00C07F19" w:rsidRPr="00586DF8" w:rsidRDefault="00C07F19" w:rsidP="009E20A7">
            <w:pPr>
              <w:pStyle w:val="HobsonsText"/>
              <w:numPr>
                <w:ilvl w:val="0"/>
                <w:numId w:val="3"/>
              </w:num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586DF8">
              <w:rPr>
                <w:rFonts w:ascii="Open Sans" w:hAnsi="Open Sans" w:cs="Open Sans"/>
              </w:rPr>
              <w:t>Which classes would you consider taking in the future based on the Naviance surveys you took in previous years and/or your present goals?</w:t>
            </w:r>
          </w:p>
          <w:p w14:paraId="624724DB" w14:textId="77777777" w:rsidR="00C07F19" w:rsidRPr="00586DF8" w:rsidRDefault="00C07F19" w:rsidP="009E20A7">
            <w:pPr>
              <w:pStyle w:val="HobsonsText"/>
              <w:numPr>
                <w:ilvl w:val="0"/>
                <w:numId w:val="3"/>
              </w:num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586DF8">
              <w:rPr>
                <w:rFonts w:ascii="Open Sans" w:hAnsi="Open Sans" w:cs="Open Sans"/>
              </w:rPr>
              <w:t>Which extra-curricular activities, community service acts, and/or work experiences would you consider getting involved in based on the Naviance surveys you took in previous years and/or your present goals?</w:t>
            </w:r>
          </w:p>
          <w:p w14:paraId="5E5DE323" w14:textId="77777777" w:rsidR="00C07F19" w:rsidRPr="00586DF8" w:rsidRDefault="00C07F19" w:rsidP="009E20A7">
            <w:pPr>
              <w:pStyle w:val="HobsonsText"/>
              <w:numPr>
                <w:ilvl w:val="0"/>
                <w:numId w:val="3"/>
              </w:num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586DF8">
              <w:rPr>
                <w:rFonts w:ascii="Open Sans" w:hAnsi="Open Sans" w:cs="Open Sans"/>
              </w:rPr>
              <w:t>Based on your responses to the first three questions, list at least one area that you will research further.</w:t>
            </w:r>
          </w:p>
          <w:p w14:paraId="52DFA00A" w14:textId="77777777" w:rsidR="00C07F19" w:rsidRPr="00586DF8" w:rsidRDefault="00C07F19" w:rsidP="009E20A7">
            <w:pPr>
              <w:pStyle w:val="HobsonsText"/>
              <w:numPr>
                <w:ilvl w:val="0"/>
                <w:numId w:val="3"/>
              </w:num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586DF8">
              <w:rPr>
                <w:rFonts w:ascii="Open Sans" w:hAnsi="Open Sans" w:cs="Open Sans"/>
              </w:rPr>
              <w:t>Reread your reflections from previous years. Have your job/career goals changed? If so, describe what they are and what you are doing to meet your new goals. If your goals are still the same, describe what you are doing to stay on this path.</w:t>
            </w:r>
          </w:p>
          <w:p w14:paraId="680B6FCE" w14:textId="77777777" w:rsidR="00C07F19" w:rsidRPr="00586DF8" w:rsidRDefault="00C07F19" w:rsidP="009E20A7">
            <w:pPr>
              <w:pStyle w:val="HobsonsText"/>
              <w:numPr>
                <w:ilvl w:val="0"/>
                <w:numId w:val="3"/>
              </w:num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586DF8">
              <w:rPr>
                <w:rFonts w:ascii="Open Sans" w:hAnsi="Open Sans" w:cs="Open Sans"/>
              </w:rPr>
              <w:t xml:space="preserve">Even when we make goals, circumstances or plans change. It’s wise to be prepared for changes and to have a “Plan B.” </w:t>
            </w:r>
            <w:r w:rsidRPr="00586DF8">
              <w:rPr>
                <w:rFonts w:ascii="Open Sans" w:hAnsi="Open Sans" w:cs="Open Sans"/>
                <w:b/>
              </w:rPr>
              <w:t xml:space="preserve">Please list two goals </w:t>
            </w:r>
            <w:r w:rsidRPr="00586DF8">
              <w:rPr>
                <w:rFonts w:ascii="Open Sans" w:hAnsi="Open Sans" w:cs="Open Sans"/>
              </w:rPr>
              <w:t>based on the criteria below.</w:t>
            </w:r>
          </w:p>
          <w:p w14:paraId="19CD1951" w14:textId="77777777" w:rsidR="00C07F19" w:rsidRPr="00586DF8" w:rsidRDefault="00C07F19" w:rsidP="009E20A7">
            <w:pPr>
              <w:pStyle w:val="HobsonsText"/>
              <w:numPr>
                <w:ilvl w:val="1"/>
                <w:numId w:val="3"/>
              </w:num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586DF8">
              <w:rPr>
                <w:rFonts w:ascii="Open Sans" w:hAnsi="Open Sans" w:cs="Open Sans"/>
              </w:rPr>
              <w:t>Goal One should be directed toward further education (4-year college, 2-year college, technical school, etc.)  If you have a school in mind, include that and your major in your goal.</w:t>
            </w:r>
          </w:p>
          <w:p w14:paraId="6C50E5FB" w14:textId="77777777" w:rsidR="00C07F19" w:rsidRPr="0061336C" w:rsidRDefault="00C07F19" w:rsidP="009E20A7">
            <w:pPr>
              <w:pStyle w:val="HobsonsText"/>
              <w:numPr>
                <w:ilvl w:val="1"/>
                <w:numId w:val="3"/>
              </w:num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586DF8">
              <w:rPr>
                <w:rFonts w:ascii="Open Sans" w:hAnsi="Open Sans" w:cs="Open Sans"/>
              </w:rPr>
              <w:t>Goal Two should be directed toward a practical activity not involving immediate further education.  Examples might be military or full-time employment.  Be specific – which branch of the military involving what type of training; what kind of employment in what type of company.</w:t>
            </w:r>
          </w:p>
        </w:tc>
      </w:tr>
      <w:tr w:rsidR="00C07F19" w:rsidRPr="00377F97" w14:paraId="298A127F" w14:textId="77777777" w:rsidTr="009E20A7">
        <w:tc>
          <w:tcPr>
            <w:cnfStyle w:val="001000000000" w:firstRow="0" w:lastRow="0" w:firstColumn="1" w:lastColumn="0" w:oddVBand="0" w:evenVBand="0" w:oddHBand="0" w:evenHBand="0" w:firstRowFirstColumn="0" w:firstRowLastColumn="0" w:lastRowFirstColumn="0" w:lastRowLastColumn="0"/>
            <w:tcW w:w="2070" w:type="dxa"/>
          </w:tcPr>
          <w:p w14:paraId="1C25A2F6" w14:textId="77777777" w:rsidR="00C07F19" w:rsidRPr="00947C5E" w:rsidRDefault="00C07F19" w:rsidP="009E20A7">
            <w:pPr>
              <w:pStyle w:val="NormalWeb"/>
              <w:spacing w:before="0" w:beforeAutospacing="0" w:after="0" w:afterAutospacing="0"/>
              <w:rPr>
                <w:rFonts w:ascii="Open Sans" w:hAnsi="Open Sans" w:cs="Open Sans"/>
                <w:sz w:val="22"/>
                <w:szCs w:val="22"/>
              </w:rPr>
            </w:pPr>
            <w:r w:rsidRPr="00947C5E">
              <w:rPr>
                <w:rFonts w:ascii="Open Sans" w:hAnsi="Open Sans" w:cs="Open Sans"/>
                <w:sz w:val="22"/>
                <w:szCs w:val="22"/>
              </w:rPr>
              <w:t>Marking Period 3</w:t>
            </w:r>
          </w:p>
        </w:tc>
        <w:tc>
          <w:tcPr>
            <w:cnfStyle w:val="000010000000" w:firstRow="0" w:lastRow="0" w:firstColumn="0" w:lastColumn="0" w:oddVBand="1" w:evenVBand="0" w:oddHBand="0" w:evenHBand="0" w:firstRowFirstColumn="0" w:firstRowLastColumn="0" w:lastRowFirstColumn="0" w:lastRowLastColumn="0"/>
            <w:tcW w:w="2070" w:type="dxa"/>
          </w:tcPr>
          <w:p w14:paraId="6AE96F09" w14:textId="77777777" w:rsidR="00C07F19" w:rsidRPr="00947C5E" w:rsidRDefault="00C07F19" w:rsidP="009E20A7">
            <w:pPr>
              <w:pStyle w:val="NormalWeb"/>
              <w:spacing w:before="0" w:beforeAutospacing="0" w:after="0" w:afterAutospacing="0"/>
              <w:rPr>
                <w:rFonts w:ascii="Open Sans" w:eastAsia="Times New Roman" w:hAnsi="Open Sans" w:cs="Open Sans"/>
                <w:sz w:val="22"/>
                <w:szCs w:val="22"/>
              </w:rPr>
            </w:pPr>
            <w:r>
              <w:rPr>
                <w:rFonts w:ascii="Open Sans" w:hAnsi="Open Sans" w:cs="Open Sans"/>
                <w:sz w:val="22"/>
                <w:szCs w:val="22"/>
              </w:rPr>
              <w:t>R</w:t>
            </w:r>
            <w:r w:rsidRPr="007B29F0">
              <w:rPr>
                <w:rFonts w:ascii="Open Sans" w:hAnsi="Open Sans" w:cs="Open Sans"/>
                <w:sz w:val="22"/>
                <w:szCs w:val="22"/>
              </w:rPr>
              <w:t>ésumé</w:t>
            </w:r>
            <w:r w:rsidRPr="00947C5E">
              <w:rPr>
                <w:rFonts w:ascii="Open Sans" w:hAnsi="Open Sans" w:cs="Open Sans"/>
                <w:sz w:val="22"/>
                <w:szCs w:val="22"/>
              </w:rPr>
              <w:t xml:space="preserve"> Building*</w:t>
            </w:r>
          </w:p>
        </w:tc>
        <w:tc>
          <w:tcPr>
            <w:tcW w:w="10350" w:type="dxa"/>
          </w:tcPr>
          <w:p w14:paraId="1855AAE7" w14:textId="77777777" w:rsidR="00C07F19" w:rsidRPr="00947C5E" w:rsidRDefault="00C07F19" w:rsidP="009E20A7">
            <w:pPr>
              <w:pStyle w:val="HobsonsText"/>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947C5E">
              <w:rPr>
                <w:rFonts w:ascii="Open Sans" w:hAnsi="Open Sans" w:cs="Open Sans"/>
                <w:sz w:val="22"/>
                <w:szCs w:val="22"/>
              </w:rPr>
              <w:t xml:space="preserve">Students will learn about the importance of keeping an up-to-date </w:t>
            </w:r>
            <w:r w:rsidRPr="007B29F0">
              <w:rPr>
                <w:rFonts w:ascii="Open Sans" w:hAnsi="Open Sans" w:cs="Open Sans"/>
                <w:sz w:val="22"/>
                <w:szCs w:val="22"/>
              </w:rPr>
              <w:t>résumé</w:t>
            </w:r>
            <w:r w:rsidRPr="00947C5E">
              <w:rPr>
                <w:rFonts w:ascii="Open Sans" w:hAnsi="Open Sans" w:cs="Open Sans"/>
                <w:sz w:val="22"/>
                <w:szCs w:val="22"/>
              </w:rPr>
              <w:t xml:space="preserve"> and continue building their </w:t>
            </w:r>
            <w:r w:rsidRPr="007B29F0">
              <w:rPr>
                <w:rFonts w:ascii="Open Sans" w:hAnsi="Open Sans" w:cs="Open Sans"/>
                <w:sz w:val="22"/>
                <w:szCs w:val="22"/>
              </w:rPr>
              <w:t>résumé</w:t>
            </w:r>
            <w:r w:rsidRPr="00947C5E">
              <w:rPr>
                <w:rFonts w:ascii="Open Sans" w:hAnsi="Open Sans" w:cs="Open Sans"/>
                <w:sz w:val="22"/>
                <w:szCs w:val="22"/>
              </w:rPr>
              <w:t xml:space="preserve"> in Naviance student.</w:t>
            </w:r>
          </w:p>
        </w:tc>
      </w:tr>
      <w:tr w:rsidR="00C07F19" w:rsidRPr="00377F97" w14:paraId="2748F2A2" w14:textId="77777777" w:rsidTr="009E2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30F45CEB" w14:textId="5655FCE3" w:rsidR="00C07F19" w:rsidRPr="00947C5E" w:rsidRDefault="00C07F19" w:rsidP="009E20A7">
            <w:pPr>
              <w:pStyle w:val="NormalWeb"/>
              <w:spacing w:before="0" w:beforeAutospacing="0" w:after="0" w:afterAutospacing="0"/>
              <w:rPr>
                <w:rFonts w:ascii="Open Sans" w:hAnsi="Open Sans" w:cs="Open Sans"/>
                <w:sz w:val="22"/>
                <w:szCs w:val="22"/>
              </w:rPr>
            </w:pPr>
            <w:r w:rsidRPr="00947C5E">
              <w:rPr>
                <w:rFonts w:ascii="Open Sans" w:hAnsi="Open Sans" w:cs="Open Sans"/>
                <w:sz w:val="22"/>
                <w:szCs w:val="22"/>
              </w:rPr>
              <w:t xml:space="preserve">Marking Period </w:t>
            </w:r>
            <w:r>
              <w:rPr>
                <w:rFonts w:ascii="Open Sans" w:hAnsi="Open Sans" w:cs="Open Sans"/>
                <w:sz w:val="22"/>
                <w:szCs w:val="22"/>
              </w:rPr>
              <w:t>3</w:t>
            </w:r>
          </w:p>
        </w:tc>
        <w:tc>
          <w:tcPr>
            <w:cnfStyle w:val="000010000000" w:firstRow="0" w:lastRow="0" w:firstColumn="0" w:lastColumn="0" w:oddVBand="1" w:evenVBand="0" w:oddHBand="0" w:evenHBand="0" w:firstRowFirstColumn="0" w:firstRowLastColumn="0" w:lastRowFirstColumn="0" w:lastRowLastColumn="0"/>
            <w:tcW w:w="2070" w:type="dxa"/>
          </w:tcPr>
          <w:p w14:paraId="299D617D" w14:textId="77777777" w:rsidR="00C07F19" w:rsidRDefault="00C07F19" w:rsidP="009E20A7">
            <w:pPr>
              <w:pStyle w:val="NormalWeb"/>
              <w:spacing w:before="0" w:beforeAutospacing="0" w:after="0" w:afterAutospacing="0"/>
              <w:rPr>
                <w:rFonts w:ascii="Open Sans" w:eastAsia="Times New Roman" w:hAnsi="Open Sans" w:cs="Open Sans"/>
                <w:sz w:val="22"/>
                <w:szCs w:val="22"/>
              </w:rPr>
            </w:pPr>
            <w:r>
              <w:rPr>
                <w:rFonts w:ascii="Open Sans" w:eastAsia="Times New Roman" w:hAnsi="Open Sans" w:cs="Open Sans"/>
                <w:sz w:val="22"/>
                <w:szCs w:val="22"/>
              </w:rPr>
              <w:t xml:space="preserve">College &amp; Career Search Activities – </w:t>
            </w:r>
          </w:p>
          <w:p w14:paraId="15B1C224" w14:textId="77777777" w:rsidR="00C07F19" w:rsidRPr="0029712A" w:rsidRDefault="00C07F19" w:rsidP="009E20A7">
            <w:pPr>
              <w:pStyle w:val="NormalWeb"/>
              <w:spacing w:before="0" w:beforeAutospacing="0" w:after="0" w:afterAutospacing="0"/>
              <w:rPr>
                <w:rFonts w:ascii="Open Sans" w:hAnsi="Open Sans" w:cs="Open Sans"/>
                <w:sz w:val="20"/>
                <w:szCs w:val="20"/>
              </w:rPr>
            </w:pPr>
            <w:r w:rsidRPr="0029712A">
              <w:rPr>
                <w:rFonts w:ascii="Open Sans" w:hAnsi="Open Sans" w:cs="Open Sans"/>
                <w:sz w:val="20"/>
                <w:szCs w:val="20"/>
              </w:rPr>
              <w:t>Advisory Discussion</w:t>
            </w:r>
          </w:p>
        </w:tc>
        <w:tc>
          <w:tcPr>
            <w:tcW w:w="10350" w:type="dxa"/>
          </w:tcPr>
          <w:p w14:paraId="5F71AEBA" w14:textId="77777777" w:rsidR="00C07F19" w:rsidRPr="0029712A" w:rsidRDefault="00C07F19" w:rsidP="009E20A7">
            <w:pPr>
              <w:cnfStyle w:val="000000100000" w:firstRow="0" w:lastRow="0" w:firstColumn="0" w:lastColumn="0" w:oddVBand="0" w:evenVBand="0" w:oddHBand="1" w:evenHBand="0" w:firstRowFirstColumn="0" w:firstRowLastColumn="0" w:lastRowFirstColumn="0" w:lastRowLastColumn="0"/>
              <w:rPr>
                <w:color w:val="auto"/>
              </w:rPr>
            </w:pPr>
            <w:r w:rsidRPr="0029712A">
              <w:rPr>
                <w:rFonts w:ascii="Open Sans" w:hAnsi="Open Sans" w:cs="Open Sans"/>
                <w:color w:val="auto"/>
              </w:rPr>
              <w:t>Students may use various resources to search for colleges and/or careers that match their interests.  Students may explore colleges using SuperMatch College Search tool in Naviance</w:t>
            </w:r>
            <w:r>
              <w:rPr>
                <w:rFonts w:ascii="Open Sans" w:hAnsi="Open Sans" w:cs="Open Sans"/>
                <w:color w:val="auto"/>
              </w:rPr>
              <w:t xml:space="preserve"> </w:t>
            </w:r>
            <w:r w:rsidRPr="0029712A">
              <w:rPr>
                <w:rFonts w:ascii="Open Sans" w:hAnsi="Open Sans" w:cs="Open Sans"/>
                <w:color w:val="auto"/>
              </w:rPr>
              <w:t>and may save colleges of interest in their “Colleges I’m Thinking About” list.  To learn about career pathways, students may use the Explore Careers &amp; Clusters feature in Naviance and may also explore the Occupational Outlook Handbook (</w:t>
            </w:r>
            <w:hyperlink r:id="rId5" w:history="1">
              <w:r w:rsidRPr="0029712A">
                <w:rPr>
                  <w:rFonts w:ascii="Open Sans" w:hAnsi="Open Sans" w:cs="Open Sans"/>
                  <w:color w:val="0070C0"/>
                </w:rPr>
                <w:t>www.bls.gov/ooh</w:t>
              </w:r>
            </w:hyperlink>
            <w:r w:rsidRPr="0029712A">
              <w:rPr>
                <w:rFonts w:ascii="Open Sans" w:hAnsi="Open Sans" w:cs="Open Sans"/>
                <w:color w:val="auto"/>
              </w:rPr>
              <w:t>).</w:t>
            </w:r>
          </w:p>
        </w:tc>
      </w:tr>
    </w:tbl>
    <w:p w14:paraId="6300695E" w14:textId="5A7481A3" w:rsidR="00C07F19" w:rsidRPr="00411C3C" w:rsidRDefault="00C07F19" w:rsidP="00C07F19"/>
    <w:sectPr w:rsidR="00C07F19" w:rsidRPr="00411C3C" w:rsidSect="00947C5E">
      <w:pgSz w:w="15840" w:h="12240" w:orient="landscape"/>
      <w:pgMar w:top="720" w:right="720" w:bottom="720" w:left="720" w:header="45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pt;height:112pt" o:bullet="t">
        <v:imagedata r:id="rId1" o:title="arrow"/>
      </v:shape>
    </w:pict>
  </w:numPicBullet>
  <w:numPicBullet w:numPicBulletId="1">
    <w:pict>
      <v:shape id="_x0000_i1027" type="#_x0000_t75" style="width:27pt;height:52pt" o:bullet="t">
        <v:imagedata r:id="rId2" o:title="hobsons_arrow"/>
      </v:shape>
    </w:pict>
  </w:numPicBullet>
  <w:abstractNum w:abstractNumId="0" w15:restartNumberingAfterBreak="0">
    <w:nsid w:val="0351647C"/>
    <w:multiLevelType w:val="hybridMultilevel"/>
    <w:tmpl w:val="4E904CE4"/>
    <w:lvl w:ilvl="0" w:tplc="4482A64A">
      <w:start w:val="1"/>
      <w:numFmt w:val="bullet"/>
      <w:pStyle w:val="HobsonsBullet1"/>
      <w:lvlText w:val=""/>
      <w:lvlPicBulletId w:val="0"/>
      <w:lvlJc w:val="left"/>
      <w:pPr>
        <w:tabs>
          <w:tab w:val="num" w:pos="648"/>
        </w:tabs>
        <w:ind w:left="648" w:hanging="288"/>
      </w:pPr>
      <w:rPr>
        <w:rFonts w:ascii="Symbol" w:hAnsi="Symbol" w:hint="default"/>
      </w:rPr>
    </w:lvl>
    <w:lvl w:ilvl="1" w:tplc="3F32D00A">
      <w:start w:val="1"/>
      <w:numFmt w:val="bullet"/>
      <w:pStyle w:val="HobsonsBullet2"/>
      <w:lvlText w:val=""/>
      <w:lvlJc w:val="left"/>
      <w:pPr>
        <w:ind w:left="1440" w:hanging="360"/>
      </w:pPr>
      <w:rPr>
        <w:rFonts w:ascii="Wingdings" w:hAnsi="Wingdings" w:hint="default"/>
        <w:color w:val="00A8B9"/>
      </w:rPr>
    </w:lvl>
    <w:lvl w:ilvl="2" w:tplc="405C796A">
      <w:start w:val="1"/>
      <w:numFmt w:val="bullet"/>
      <w:pStyle w:val="HobsonsBullet3"/>
      <w:lvlText w:val="–"/>
      <w:lvlJc w:val="left"/>
      <w:pPr>
        <w:ind w:left="2160" w:hanging="360"/>
      </w:pPr>
      <w:rPr>
        <w:rFonts w:ascii="Times New Roman" w:hAnsi="Times New Roman" w:cs="Times New Roman" w:hint="default"/>
        <w:color w:val="E7E6E6" w:themeColor="background2"/>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54D9C"/>
    <w:multiLevelType w:val="hybridMultilevel"/>
    <w:tmpl w:val="B9E86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9B2E62"/>
    <w:multiLevelType w:val="hybridMultilevel"/>
    <w:tmpl w:val="99864528"/>
    <w:lvl w:ilvl="0" w:tplc="84007C28">
      <w:start w:val="1"/>
      <w:numFmt w:val="bullet"/>
      <w:pStyle w:val="Title"/>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F19"/>
    <w:rsid w:val="005143B3"/>
    <w:rsid w:val="00775C6F"/>
    <w:rsid w:val="00C0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634A27"/>
  <w15:chartTrackingRefBased/>
  <w15:docId w15:val="{12DAA484-149F-4FB8-9708-32D065AB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07F19"/>
    <w:pPr>
      <w:spacing w:before="120" w:after="120" w:line="240" w:lineRule="auto"/>
    </w:pPr>
    <w:rPr>
      <w:rFonts w:ascii="Times New Roman" w:eastAsia="Times New Roman" w:hAnsi="Times New Roman" w:cs="Times New Roman"/>
      <w:color w:val="404040"/>
    </w:rPr>
  </w:style>
  <w:style w:type="paragraph" w:styleId="Heading1">
    <w:name w:val="heading 1"/>
    <w:next w:val="HobsonsText"/>
    <w:link w:val="Heading1Char"/>
    <w:qFormat/>
    <w:rsid w:val="00C07F19"/>
    <w:pPr>
      <w:keepNext/>
      <w:spacing w:before="360" w:after="180" w:line="240" w:lineRule="auto"/>
      <w:outlineLvl w:val="0"/>
    </w:pPr>
    <w:rPr>
      <w:rFonts w:ascii="Times New Roman" w:eastAsia="Times New Roman" w:hAnsi="Times New Roman" w:cs="Times New Roman"/>
      <w:b/>
      <w:color w:val="00A8B9"/>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7F19"/>
    <w:rPr>
      <w:rFonts w:ascii="Times New Roman" w:eastAsia="Times New Roman" w:hAnsi="Times New Roman" w:cs="Times New Roman"/>
      <w:b/>
      <w:color w:val="00A8B9"/>
      <w:sz w:val="36"/>
      <w:szCs w:val="28"/>
    </w:rPr>
  </w:style>
  <w:style w:type="paragraph" w:customStyle="1" w:styleId="HobsonsBullet2">
    <w:name w:val="Hobsons Bullet 2"/>
    <w:basedOn w:val="HobsonsBullet1"/>
    <w:qFormat/>
    <w:rsid w:val="00C07F19"/>
    <w:pPr>
      <w:numPr>
        <w:ilvl w:val="1"/>
      </w:numPr>
      <w:tabs>
        <w:tab w:val="left" w:pos="990"/>
      </w:tabs>
      <w:ind w:left="990"/>
    </w:pPr>
  </w:style>
  <w:style w:type="paragraph" w:styleId="Title">
    <w:name w:val="Title"/>
    <w:next w:val="Normal"/>
    <w:link w:val="TitleChar"/>
    <w:qFormat/>
    <w:rsid w:val="00C07F19"/>
    <w:pPr>
      <w:numPr>
        <w:numId w:val="2"/>
      </w:numPr>
      <w:tabs>
        <w:tab w:val="right" w:pos="9360"/>
      </w:tabs>
      <w:spacing w:after="360" w:line="240" w:lineRule="auto"/>
      <w:ind w:left="0"/>
    </w:pPr>
    <w:rPr>
      <w:rFonts w:ascii="Times New Roman" w:eastAsia="Times New Roman" w:hAnsi="Times New Roman" w:cs="Times New Roman"/>
      <w:color w:val="616365"/>
      <w:sz w:val="64"/>
      <w:szCs w:val="72"/>
    </w:rPr>
  </w:style>
  <w:style w:type="character" w:customStyle="1" w:styleId="TitleChar">
    <w:name w:val="Title Char"/>
    <w:basedOn w:val="DefaultParagraphFont"/>
    <w:link w:val="Title"/>
    <w:rsid w:val="00C07F19"/>
    <w:rPr>
      <w:rFonts w:ascii="Times New Roman" w:eastAsia="Times New Roman" w:hAnsi="Times New Roman" w:cs="Times New Roman"/>
      <w:color w:val="616365"/>
      <w:sz w:val="64"/>
      <w:szCs w:val="72"/>
    </w:rPr>
  </w:style>
  <w:style w:type="paragraph" w:customStyle="1" w:styleId="HobsonsText">
    <w:name w:val="Hobsons Text"/>
    <w:qFormat/>
    <w:rsid w:val="00C07F19"/>
    <w:pPr>
      <w:spacing w:after="120" w:line="240" w:lineRule="auto"/>
    </w:pPr>
    <w:rPr>
      <w:rFonts w:ascii="Times New Roman" w:eastAsia="Times New Roman" w:hAnsi="Times New Roman" w:cs="Times New Roman"/>
    </w:rPr>
  </w:style>
  <w:style w:type="paragraph" w:customStyle="1" w:styleId="HobsonsBullet1">
    <w:name w:val="Hobsons Bullet 1"/>
    <w:basedOn w:val="Normal"/>
    <w:qFormat/>
    <w:rsid w:val="00C07F19"/>
    <w:pPr>
      <w:numPr>
        <w:numId w:val="1"/>
      </w:numPr>
      <w:tabs>
        <w:tab w:val="clear" w:pos="648"/>
        <w:tab w:val="num" w:pos="540"/>
      </w:tabs>
      <w:spacing w:before="0"/>
      <w:ind w:left="540" w:hanging="360"/>
    </w:pPr>
    <w:rPr>
      <w:color w:val="000000"/>
    </w:rPr>
  </w:style>
  <w:style w:type="paragraph" w:customStyle="1" w:styleId="HobsonsBullet3">
    <w:name w:val="Hobsons Bullet 3"/>
    <w:basedOn w:val="HobsonsBullet2"/>
    <w:qFormat/>
    <w:rsid w:val="00C07F19"/>
    <w:pPr>
      <w:numPr>
        <w:ilvl w:val="2"/>
      </w:numPr>
      <w:tabs>
        <w:tab w:val="clear" w:pos="990"/>
      </w:tabs>
      <w:ind w:left="1440"/>
    </w:pPr>
  </w:style>
  <w:style w:type="table" w:styleId="LightList-Accent4">
    <w:name w:val="Light List Accent 4"/>
    <w:basedOn w:val="TableNormal"/>
    <w:uiPriority w:val="61"/>
    <w:rsid w:val="00C07F19"/>
    <w:pPr>
      <w:spacing w:after="0" w:line="240" w:lineRule="auto"/>
    </w:pPr>
    <w:rPr>
      <w:rFonts w:ascii="Calibri" w:eastAsia="Times New Roman" w:hAnsi="Calibri" w:cs="Times New Roman"/>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NormalWeb">
    <w:name w:val="Normal (Web)"/>
    <w:basedOn w:val="Normal"/>
    <w:uiPriority w:val="99"/>
    <w:unhideWhenUsed/>
    <w:rsid w:val="00C07F19"/>
    <w:pPr>
      <w:spacing w:before="100" w:beforeAutospacing="1" w:after="100" w:afterAutospacing="1"/>
    </w:pPr>
    <w:rPr>
      <w:rFonts w:eastAsiaTheme="minorEastAsia"/>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01.safelinks.protection.outlook.com/?url=http%3A%2F%2Fwww.bls.gov%2Fooh&amp;data=02%7C01%7CAWALLOFF%40CBSD.ORG%7C56ab79cce7ff42be8e5508d6609987f4%7Caa0b488ffc9e4185a5e3384220df23ca%7C0%7C0%7C636802609854237166&amp;sdata=XyIeE4r6QBHPKfeVRyBi2MByyWvsVfD2SpbkI1PDZ0I%3D&amp;reserved=0"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PISELLI, JOSEPH A</dc:creator>
  <cp:keywords/>
  <dc:description/>
  <cp:lastModifiedBy>STOTLER, GRETCHEN</cp:lastModifiedBy>
  <cp:revision>2</cp:revision>
  <dcterms:created xsi:type="dcterms:W3CDTF">2019-04-02T14:43:00Z</dcterms:created>
  <dcterms:modified xsi:type="dcterms:W3CDTF">2019-04-02T14:43:00Z</dcterms:modified>
</cp:coreProperties>
</file>